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D85" w:rsidRDefault="00EC2D04">
      <w:r>
        <w:t>01 USZBEV</w:t>
      </w:r>
    </w:p>
    <w:p w:rsidR="00EC2D04" w:rsidRDefault="00EC2D04" w:rsidP="00EC2D04">
      <w:pPr>
        <w:pStyle w:val="Cm"/>
      </w:pPr>
    </w:p>
    <w:p w:rsidR="00EC2D04" w:rsidRDefault="00EC2D04" w:rsidP="00EC2D04">
      <w:pPr>
        <w:pStyle w:val="Cm"/>
      </w:pPr>
    </w:p>
    <w:p w:rsidR="00EC2D04" w:rsidRDefault="00EC2D04" w:rsidP="00EC2D04">
      <w:pPr>
        <w:pStyle w:val="Cm"/>
        <w:rPr>
          <w:sz w:val="72"/>
        </w:rPr>
      </w:pPr>
      <w:r>
        <w:rPr>
          <w:sz w:val="72"/>
        </w:rPr>
        <w:t xml:space="preserve">Bevezetés az </w:t>
      </w:r>
    </w:p>
    <w:p w:rsidR="00EC2D04" w:rsidRDefault="00EC2D04" w:rsidP="00EC2D04">
      <w:pPr>
        <w:pStyle w:val="Cm"/>
        <w:rPr>
          <w:sz w:val="72"/>
        </w:rPr>
      </w:pPr>
      <w:r>
        <w:rPr>
          <w:sz w:val="72"/>
        </w:rPr>
        <w:t>Újszövetségi Szentírásba</w:t>
      </w:r>
    </w:p>
    <w:p w:rsidR="00E500AA" w:rsidRDefault="00E500AA" w:rsidP="00E500AA">
      <w:pPr>
        <w:rPr>
          <w:rFonts w:ascii="Times New Roman" w:eastAsia="Times New Roman" w:hAnsi="Times New Roman" w:cs="Times New Roman"/>
          <w:b/>
          <w:bCs/>
          <w:smallCaps/>
          <w:sz w:val="52"/>
          <w:szCs w:val="52"/>
          <w:lang w:eastAsia="hu-HU"/>
        </w:rPr>
      </w:pPr>
      <w:r w:rsidRPr="00E500AA">
        <w:rPr>
          <w:rFonts w:ascii="Times New Roman" w:eastAsia="Times New Roman" w:hAnsi="Times New Roman" w:cs="Times New Roman"/>
          <w:b/>
          <w:bCs/>
          <w:smallCaps/>
          <w:sz w:val="52"/>
          <w:szCs w:val="52"/>
          <w:lang w:eastAsia="hu-HU"/>
        </w:rPr>
        <w:t xml:space="preserve">Kor és irodalom történet, </w:t>
      </w:r>
    </w:p>
    <w:p w:rsidR="00E500AA" w:rsidRPr="00E500AA" w:rsidRDefault="00E500AA" w:rsidP="00E500AA">
      <w:pPr>
        <w:rPr>
          <w:rFonts w:ascii="Times New Roman" w:eastAsia="Times New Roman" w:hAnsi="Times New Roman" w:cs="Times New Roman"/>
          <w:b/>
          <w:bCs/>
          <w:smallCaps/>
          <w:sz w:val="52"/>
          <w:szCs w:val="52"/>
          <w:lang w:eastAsia="hu-HU"/>
        </w:rPr>
      </w:pPr>
      <w:bookmarkStart w:id="0" w:name="_GoBack"/>
      <w:bookmarkEnd w:id="0"/>
      <w:r w:rsidRPr="00E500AA">
        <w:rPr>
          <w:rFonts w:ascii="Times New Roman" w:eastAsia="Times New Roman" w:hAnsi="Times New Roman" w:cs="Times New Roman"/>
          <w:b/>
          <w:bCs/>
          <w:smallCaps/>
          <w:sz w:val="52"/>
          <w:szCs w:val="52"/>
          <w:lang w:eastAsia="hu-HU"/>
        </w:rPr>
        <w:t>Márk, Máté evangéliuma</w:t>
      </w:r>
    </w:p>
    <w:p w:rsidR="00EC2D04" w:rsidRDefault="00EC2D04" w:rsidP="00EC2D04">
      <w:pPr>
        <w:pStyle w:val="Cm"/>
        <w:rPr>
          <w:smallCaps/>
          <w:sz w:val="52"/>
          <w:szCs w:val="52"/>
        </w:rPr>
      </w:pPr>
    </w:p>
    <w:p w:rsidR="00EC2D04" w:rsidRPr="005A3A03" w:rsidRDefault="00EC2D04" w:rsidP="00EC2D04">
      <w:pPr>
        <w:pStyle w:val="Cm"/>
        <w:rPr>
          <w:smallCaps/>
          <w:sz w:val="52"/>
          <w:szCs w:val="52"/>
        </w:rPr>
      </w:pPr>
      <w:r w:rsidRPr="005A3A03">
        <w:rPr>
          <w:smallCaps/>
          <w:sz w:val="52"/>
          <w:szCs w:val="52"/>
        </w:rPr>
        <w:t>vázlatok</w:t>
      </w:r>
    </w:p>
    <w:p w:rsidR="00EC2D04" w:rsidRDefault="00EC2D04" w:rsidP="00EC2D04">
      <w:pPr>
        <w:pStyle w:val="Cm"/>
        <w:rPr>
          <w:sz w:val="72"/>
        </w:rPr>
      </w:pPr>
    </w:p>
    <w:p w:rsidR="00EC2D04" w:rsidRDefault="00EC2D04" w:rsidP="00EC2D04">
      <w:pPr>
        <w:pStyle w:val="Cm"/>
        <w:rPr>
          <w:sz w:val="48"/>
        </w:rPr>
      </w:pPr>
    </w:p>
    <w:p w:rsidR="00EC2D04" w:rsidRPr="00AE34EC" w:rsidRDefault="00EC2D04" w:rsidP="00EC2D04">
      <w:pPr>
        <w:pStyle w:val="Cm"/>
        <w:rPr>
          <w:sz w:val="32"/>
          <w:szCs w:val="32"/>
        </w:rPr>
      </w:pPr>
      <w:r w:rsidRPr="00AE34EC">
        <w:rPr>
          <w:sz w:val="32"/>
          <w:szCs w:val="32"/>
        </w:rPr>
        <w:t>Belső használatra, hallgatóknak</w:t>
      </w:r>
    </w:p>
    <w:p w:rsidR="00EC2D04" w:rsidRPr="00AE34EC" w:rsidRDefault="00EC2D04" w:rsidP="00EC2D04">
      <w:pPr>
        <w:pStyle w:val="Cm"/>
        <w:spacing w:before="120"/>
        <w:rPr>
          <w:i/>
          <w:sz w:val="32"/>
          <w:szCs w:val="32"/>
        </w:rPr>
      </w:pPr>
      <w:r w:rsidRPr="00AE34EC">
        <w:rPr>
          <w:i/>
          <w:sz w:val="32"/>
          <w:szCs w:val="32"/>
        </w:rPr>
        <w:t>Sokszorosítása tilos!</w:t>
      </w:r>
    </w:p>
    <w:p w:rsidR="00EC2D04" w:rsidRDefault="00EC2D04" w:rsidP="00EC2D04">
      <w:pPr>
        <w:pStyle w:val="Cm"/>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Default="00EC2D04" w:rsidP="00EC2D04">
      <w:pPr>
        <w:pStyle w:val="Cm"/>
        <w:rPr>
          <w:sz w:val="32"/>
        </w:rPr>
      </w:pPr>
    </w:p>
    <w:p w:rsidR="00EC2D04" w:rsidRPr="00AE34EC" w:rsidRDefault="00EC2D04" w:rsidP="00EC2D04">
      <w:pPr>
        <w:pStyle w:val="Cm"/>
        <w:rPr>
          <w:sz w:val="28"/>
          <w:szCs w:val="28"/>
        </w:rPr>
      </w:pPr>
      <w:r w:rsidRPr="00AE34EC">
        <w:rPr>
          <w:sz w:val="28"/>
          <w:szCs w:val="28"/>
        </w:rPr>
        <w:t>A 2003-as kiadás átdolgozott és bővített változata</w:t>
      </w:r>
    </w:p>
    <w:p w:rsidR="00EC2D04" w:rsidRDefault="00EC2D04" w:rsidP="00EC2D04">
      <w:pPr>
        <w:pStyle w:val="Cm"/>
      </w:pPr>
    </w:p>
    <w:p w:rsidR="00EC2D04" w:rsidRDefault="00EC2D04" w:rsidP="00EC2D04">
      <w:pPr>
        <w:pStyle w:val="Cm"/>
      </w:pPr>
    </w:p>
    <w:p w:rsidR="00EC2D04" w:rsidRDefault="00EC2D04" w:rsidP="00EC2D04">
      <w:pPr>
        <w:pStyle w:val="Cm"/>
      </w:pPr>
    </w:p>
    <w:p w:rsidR="00EC2D04" w:rsidRDefault="00EC2D04" w:rsidP="00EC2D04">
      <w:pPr>
        <w:pStyle w:val="Cm"/>
      </w:pPr>
      <w:r>
        <w:lastRenderedPageBreak/>
        <w:t>Összeállította:</w:t>
      </w:r>
    </w:p>
    <w:p w:rsidR="00EC2D04" w:rsidRPr="005A3A03" w:rsidRDefault="00EC2D04" w:rsidP="00EC2D04">
      <w:pPr>
        <w:pStyle w:val="Cm"/>
        <w:spacing w:before="120"/>
        <w:rPr>
          <w:i/>
        </w:rPr>
      </w:pPr>
      <w:r w:rsidRPr="005A3A03">
        <w:rPr>
          <w:i/>
        </w:rPr>
        <w:t>Dr. Benyik György</w:t>
      </w:r>
    </w:p>
    <w:p w:rsidR="00EC2D04" w:rsidRDefault="00EC2D04" w:rsidP="00EC2D04">
      <w:pPr>
        <w:pStyle w:val="Cm"/>
      </w:pPr>
    </w:p>
    <w:p w:rsidR="00EC2D04" w:rsidRPr="00E2048D" w:rsidRDefault="00EC2D04" w:rsidP="00EC2D04">
      <w:pPr>
        <w:pStyle w:val="Cm"/>
      </w:pPr>
      <w:r>
        <w:t>Szeged</w:t>
      </w:r>
      <w:r w:rsidRPr="00E2048D">
        <w:t xml:space="preserve">, </w:t>
      </w:r>
      <w:r w:rsidRPr="00D7362F">
        <w:t>2006</w:t>
      </w:r>
    </w:p>
    <w:p w:rsidR="00EC2D04" w:rsidRPr="005A3A03" w:rsidRDefault="00EC2D04" w:rsidP="00EC2D04">
      <w:pPr>
        <w:pStyle w:val="Cm"/>
        <w:spacing w:line="300" w:lineRule="exact"/>
        <w:rPr>
          <w:caps/>
          <w:sz w:val="28"/>
          <w:szCs w:val="28"/>
        </w:rPr>
      </w:pPr>
      <w:r>
        <w:br w:type="page"/>
      </w:r>
      <w:r w:rsidRPr="005A3A03">
        <w:rPr>
          <w:caps/>
          <w:sz w:val="28"/>
          <w:szCs w:val="28"/>
        </w:rPr>
        <w:lastRenderedPageBreak/>
        <w:t>Az Újszövetségi Szentírás</w:t>
      </w:r>
    </w:p>
    <w:p w:rsidR="00EC2D04" w:rsidRDefault="00EC2D04" w:rsidP="00EC2D04">
      <w:pPr>
        <w:spacing w:line="300" w:lineRule="exact"/>
      </w:pPr>
    </w:p>
    <w:p w:rsidR="00EC2D04" w:rsidRPr="005A3A03" w:rsidRDefault="00EC2D04" w:rsidP="00EC2D04">
      <w:pPr>
        <w:pStyle w:val="Alcm"/>
        <w:spacing w:line="320" w:lineRule="exact"/>
        <w:jc w:val="both"/>
        <w:rPr>
          <w:smallCaps/>
        </w:rPr>
      </w:pPr>
      <w:r w:rsidRPr="005A3A03">
        <w:rPr>
          <w:smallCaps/>
        </w:rPr>
        <w:t>Bevezető</w:t>
      </w:r>
    </w:p>
    <w:p w:rsidR="00EC2D04" w:rsidRDefault="00EC2D04" w:rsidP="00EC2D04">
      <w:pPr>
        <w:spacing w:before="60" w:line="320" w:lineRule="exact"/>
        <w:jc w:val="both"/>
      </w:pPr>
      <w:r>
        <w:t>Az újszövetségi írások alkotják az őskeresztény irodalmat. Amennyiben az ember ezeket szeretné megérteni, akkor - mint minden más világirodalom esetében - az írásművek keletkezésére, szerzőjére, szemléletmódjára, címzettjeire és olvasóira kell rákérdeznie – és röviden a megszületés okaival kell foglalkoznia.</w:t>
      </w:r>
    </w:p>
    <w:p w:rsidR="00EC2D04" w:rsidRPr="00AE34EC" w:rsidRDefault="00EC2D04" w:rsidP="00EC2D04">
      <w:pPr>
        <w:spacing w:line="320" w:lineRule="exact"/>
        <w:jc w:val="both"/>
        <w:rPr>
          <w:spacing w:val="-2"/>
        </w:rPr>
      </w:pPr>
      <w:r w:rsidRPr="00AE34EC">
        <w:rPr>
          <w:spacing w:val="-2"/>
        </w:rPr>
        <w:t>Mi a legfontosabbnak az írás céljának és szemléletmódjának meghatározását tartottuk. Minden esetben konkrét kifejezéseket vizsgálunk. Ezek segítségével válaszoltak a különböző szerzők a felmerülő nehézségekre, problémákra, és az őskeresztény közösség kérdéseire.  Amennyiben az ember ezt felismeri, akkor kezdődik az újszövetség tisztán történeti megértése.</w:t>
      </w:r>
    </w:p>
    <w:p w:rsidR="00EC2D04" w:rsidRDefault="00EC2D04" w:rsidP="00EC2D04">
      <w:pPr>
        <w:spacing w:before="60" w:line="320" w:lineRule="exact"/>
        <w:jc w:val="both"/>
      </w:pPr>
      <w:r>
        <w:t xml:space="preserve">Ez a bevezető számtalan rövidítést tartalmaz, amelyek a magyar római katolikus egyházban meghonosodtak, de a protestáns egyházban egy kicsit másként használják őket. A bibliai nevek írásánál is a katolikus egyházban meghonosodott formákat követtük. A bevezető olvasását akkor tartjuk gyümölcsözőnek, ha a kedves olvasó - valamely Újszövetségi Szentírás fordítását állandóan a kezében tartva - az utalásokat állandóan </w:t>
      </w:r>
      <w:proofErr w:type="spellStart"/>
      <w:r>
        <w:t>leellenőrzi</w:t>
      </w:r>
      <w:proofErr w:type="spellEnd"/>
      <w:r>
        <w:t xml:space="preserve"> a jegyzetben található utaló számok segítségével.</w:t>
      </w:r>
    </w:p>
    <w:p w:rsidR="00EC2D04" w:rsidRDefault="00EC2D04" w:rsidP="00EC2D04">
      <w:pPr>
        <w:spacing w:before="60" w:line="320" w:lineRule="exact"/>
        <w:jc w:val="both"/>
      </w:pPr>
      <w:r>
        <w:t>Jegyzetünk összeállításakor mellőztük a kutatók nevének, illetve az összes nézet szisztematikus felsorolását. Ezt az órai előadásokban úgyis megtesszük. A segédanyagként szolgáló jegyzetben csak a két szélsőséges véleményt közöltük. Az órai előadásokban térünk ki ezek részletes elemzésére, elfogadhatóságára. Azt, hogy egy vélemény nem katolikus, azt csak akkor jeleztük, ha egészen szélsőséges szakmai véleményről van szó, amellyel szemben a Pápai Biblikus Bizottság állást foglalt.</w:t>
      </w:r>
    </w:p>
    <w:p w:rsidR="00EC2D04" w:rsidRDefault="00EC2D04" w:rsidP="00EC2D04">
      <w:pPr>
        <w:spacing w:line="320" w:lineRule="exact"/>
        <w:jc w:val="both"/>
      </w:pPr>
      <w:r>
        <w:t xml:space="preserve">A bevezető - a rövidsége miatt - nem tartalmaz részletes kortörténeti bevezetőt, és a szövegtörténeti utalásai is meglehetősen rövidek. Nem helyezi el az újszövetségi iratokat az </w:t>
      </w:r>
      <w:proofErr w:type="spellStart"/>
      <w:r>
        <w:t>intertestamentális</w:t>
      </w:r>
      <w:proofErr w:type="spellEnd"/>
      <w:r>
        <w:t xml:space="preserve"> kor szövegei között, és nem ismerteti a kortárs irodalmat, </w:t>
      </w:r>
      <w:proofErr w:type="spellStart"/>
      <w:r>
        <w:t>Josephus</w:t>
      </w:r>
      <w:proofErr w:type="spellEnd"/>
      <w:r>
        <w:t xml:space="preserve"> </w:t>
      </w:r>
      <w:proofErr w:type="spellStart"/>
      <w:r>
        <w:t>Flaviust</w:t>
      </w:r>
      <w:proofErr w:type="spellEnd"/>
      <w:r>
        <w:t>, Alexandriai Philónt. Patrisztikus utalásai is rövidek, és egy újszövetségi írás kutatástörténetének minden állomását sem követjük nyomon. Erre az órai előadásokban fogunk kitérni. Célunk az volt, hogy a hallgatók kezébe adjunk egy olyan segédanyagot, amely segít eligazodni az újszövetségi iratok keletkezésének problematikájában.</w:t>
      </w:r>
    </w:p>
    <w:p w:rsidR="00EC2D04" w:rsidRDefault="00EC2D04" w:rsidP="00EC2D04">
      <w:pPr>
        <w:spacing w:before="60" w:line="320" w:lineRule="exact"/>
        <w:jc w:val="both"/>
      </w:pPr>
      <w:r>
        <w:t>Az újszövetségi iratokat nem a keletkezésük sorrendjében vizsgáltuk, inkább a kánoni sorrendhez kötődtünk, mivel tapasztalatunk szerint az evangéliumi hagyomány után könnyebb megérteni a levélirodalmat.</w:t>
      </w:r>
    </w:p>
    <w:p w:rsidR="00EC2D04" w:rsidRDefault="00EC2D04" w:rsidP="00EC2D04">
      <w:pPr>
        <w:spacing w:before="120" w:line="320" w:lineRule="exact"/>
        <w:jc w:val="both"/>
      </w:pPr>
      <w:r>
        <w:t xml:space="preserve">Aki részletesebben el akar mélyedni a témában, annak ajánljuk saját munkánkat: </w:t>
      </w:r>
    </w:p>
    <w:p w:rsidR="00EC2D04" w:rsidRDefault="00EC2D04" w:rsidP="00EC2D04">
      <w:pPr>
        <w:spacing w:line="320" w:lineRule="exact"/>
        <w:jc w:val="both"/>
      </w:pPr>
      <w:r>
        <w:rPr>
          <w:i/>
          <w:iCs/>
        </w:rPr>
        <w:t>Bevezetés az Újszövetségi Szentírás keletkezés és kutatás történetébe I-II.</w:t>
      </w:r>
      <w:r>
        <w:t xml:space="preserve"> Szeged, 1995-96. </w:t>
      </w:r>
    </w:p>
    <w:p w:rsidR="00EC2D04" w:rsidRPr="00AE34EC" w:rsidRDefault="00EC2D04" w:rsidP="00EC2D04">
      <w:pPr>
        <w:spacing w:before="120" w:line="320" w:lineRule="exact"/>
        <w:jc w:val="both"/>
        <w:rPr>
          <w:spacing w:val="-4"/>
        </w:rPr>
      </w:pPr>
      <w:r w:rsidRPr="00AE34EC">
        <w:rPr>
          <w:spacing w:val="-4"/>
        </w:rPr>
        <w:t xml:space="preserve">Jó szívvel ajánljuk a közelmúltban megjelent </w:t>
      </w:r>
      <w:r w:rsidRPr="00AE34EC">
        <w:rPr>
          <w:i/>
          <w:spacing w:val="-4"/>
        </w:rPr>
        <w:t>Jeromos Bibliakommentár</w:t>
      </w:r>
      <w:r w:rsidRPr="00AE34EC">
        <w:rPr>
          <w:spacing w:val="-4"/>
        </w:rPr>
        <w:t xml:space="preserve"> megfelelő bevezetőit is.</w:t>
      </w:r>
    </w:p>
    <w:p w:rsidR="00EC2D04" w:rsidRDefault="00EC2D04" w:rsidP="00EC2D04">
      <w:pPr>
        <w:spacing w:line="320" w:lineRule="exact"/>
        <w:jc w:val="both"/>
      </w:pPr>
    </w:p>
    <w:p w:rsidR="00EC2D04" w:rsidRDefault="00EC2D04" w:rsidP="00EC2D04">
      <w:pPr>
        <w:spacing w:line="320" w:lineRule="exact"/>
        <w:jc w:val="both"/>
      </w:pPr>
      <w:r>
        <w:t>Szeged, 2006. november 6.</w:t>
      </w:r>
    </w:p>
    <w:p w:rsidR="00EC2D04" w:rsidRDefault="00EC2D04" w:rsidP="00EC2D04">
      <w:pPr>
        <w:spacing w:line="320" w:lineRule="exact"/>
        <w:jc w:val="both"/>
      </w:pPr>
    </w:p>
    <w:p w:rsidR="00EC2D04" w:rsidRPr="00AE34EC" w:rsidRDefault="00EC2D04" w:rsidP="00EC2D04">
      <w:pPr>
        <w:spacing w:line="320" w:lineRule="exact"/>
        <w:jc w:val="both"/>
        <w:rPr>
          <w:i/>
        </w:rPr>
      </w:pPr>
      <w:r w:rsidRPr="00AE34EC">
        <w:rPr>
          <w:i/>
        </w:rPr>
        <w:lastRenderedPageBreak/>
        <w:t>A szerző</w:t>
      </w:r>
    </w:p>
    <w:p w:rsidR="00EC2D04" w:rsidRDefault="00EC2D04" w:rsidP="00EC2D04">
      <w:r>
        <w:t xml:space="preserve"> </w:t>
      </w:r>
    </w:p>
    <w:p w:rsidR="00EC2D04" w:rsidRPr="00AE34EC" w:rsidRDefault="00EC2D04" w:rsidP="00EC2D04">
      <w:pPr>
        <w:jc w:val="center"/>
        <w:rPr>
          <w:b/>
          <w:bCs/>
          <w:caps/>
          <w:sz w:val="28"/>
        </w:rPr>
      </w:pPr>
      <w:r>
        <w:br w:type="page"/>
      </w:r>
      <w:r w:rsidRPr="00AE34EC">
        <w:rPr>
          <w:b/>
          <w:bCs/>
          <w:caps/>
          <w:sz w:val="28"/>
        </w:rPr>
        <w:lastRenderedPageBreak/>
        <w:t>A kereszténység környezete</w:t>
      </w:r>
    </w:p>
    <w:p w:rsidR="00EC2D04" w:rsidRDefault="00EC2D04" w:rsidP="00EC2D04">
      <w:pPr>
        <w:jc w:val="center"/>
        <w:rPr>
          <w:b/>
          <w:bCs/>
          <w:sz w:val="20"/>
        </w:rPr>
      </w:pPr>
    </w:p>
    <w:p w:rsidR="00EC2D04" w:rsidRPr="00670793" w:rsidRDefault="00EC2D04" w:rsidP="00EC2D04">
      <w:pPr>
        <w:pStyle w:val="Cmsor3"/>
        <w:rPr>
          <w:smallCaps/>
          <w:szCs w:val="28"/>
        </w:rPr>
      </w:pPr>
      <w:r w:rsidRPr="00670793">
        <w:rPr>
          <w:smallCaps/>
          <w:szCs w:val="28"/>
        </w:rPr>
        <w:t>A földrajzi környezet</w:t>
      </w:r>
    </w:p>
    <w:p w:rsidR="00EC2D04" w:rsidRDefault="00EC2D04" w:rsidP="00EC2D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7"/>
        <w:gridCol w:w="7355"/>
      </w:tblGrid>
      <w:tr w:rsidR="00EC2D04" w:rsidTr="0065119C">
        <w:tc>
          <w:tcPr>
            <w:tcW w:w="1714" w:type="dxa"/>
          </w:tcPr>
          <w:p w:rsidR="00EC2D04" w:rsidRDefault="00EC2D04" w:rsidP="0065119C">
            <w:r>
              <w:t xml:space="preserve">A római birodalom </w:t>
            </w:r>
          </w:p>
          <w:p w:rsidR="00EC2D04" w:rsidRDefault="00EC2D04" w:rsidP="0065119C"/>
          <w:p w:rsidR="00EC2D04" w:rsidRDefault="00EC2D04" w:rsidP="0065119C">
            <w:pPr>
              <w:spacing w:before="120"/>
            </w:pPr>
            <w:r>
              <w:t>Pax Romana</w:t>
            </w:r>
          </w:p>
          <w:p w:rsidR="00EC2D04" w:rsidRDefault="00EC2D04" w:rsidP="0065119C"/>
          <w:p w:rsidR="00EC2D04" w:rsidRDefault="00EC2D04" w:rsidP="0065119C">
            <w:r>
              <w:t>Utak, közlekedés</w:t>
            </w:r>
          </w:p>
        </w:tc>
        <w:tc>
          <w:tcPr>
            <w:tcW w:w="7498" w:type="dxa"/>
          </w:tcPr>
          <w:p w:rsidR="00EC2D04" w:rsidRDefault="00EC2D04" w:rsidP="0065119C">
            <w:pPr>
              <w:spacing w:line="300" w:lineRule="exact"/>
              <w:jc w:val="both"/>
            </w:pPr>
            <w:r>
              <w:t>Az egységes közigazgatású, jó közlekedésű római birodalom megfelelő földrajzi keretet nyújtott a keresztény missziónak a Földközi-tenger medencéjében Augustus-</w:t>
            </w:r>
            <w:proofErr w:type="spellStart"/>
            <w:r>
              <w:t>tól</w:t>
            </w:r>
            <w:proofErr w:type="spellEnd"/>
            <w:r>
              <w:t xml:space="preserve"> (Kr.e.31-Kr.u.14) </w:t>
            </w:r>
            <w:proofErr w:type="spellStart"/>
            <w:r>
              <w:t>Neróig</w:t>
            </w:r>
            <w:proofErr w:type="spellEnd"/>
            <w:r>
              <w:t xml:space="preserve"> (Kr.u.54-68).</w:t>
            </w:r>
          </w:p>
          <w:p w:rsidR="00EC2D04" w:rsidRDefault="00EC2D04" w:rsidP="0065119C">
            <w:pPr>
              <w:spacing w:before="120" w:line="300" w:lineRule="exact"/>
              <w:jc w:val="both"/>
            </w:pPr>
            <w:r>
              <w:t>Augustus nevéhez fűződik a Pax Romana – amikor a birodalom nem folytatott háborút, béke volt.</w:t>
            </w:r>
          </w:p>
          <w:p w:rsidR="00EC2D04" w:rsidRDefault="00EC2D04" w:rsidP="0065119C">
            <w:pPr>
              <w:spacing w:before="120" w:line="300" w:lineRule="exact"/>
            </w:pPr>
            <w:r>
              <w:t xml:space="preserve">A birodalom fő útvonalai: „királyi út”, </w:t>
            </w:r>
            <w:proofErr w:type="spellStart"/>
            <w:r>
              <w:t>Via</w:t>
            </w:r>
            <w:proofErr w:type="spellEnd"/>
            <w:r>
              <w:t xml:space="preserve"> Appia, </w:t>
            </w:r>
            <w:proofErr w:type="spellStart"/>
            <w:r>
              <w:t>Via</w:t>
            </w:r>
            <w:proofErr w:type="spellEnd"/>
            <w:r>
              <w:t xml:space="preserve"> </w:t>
            </w:r>
            <w:proofErr w:type="spellStart"/>
            <w:r>
              <w:t>Egnatia</w:t>
            </w:r>
            <w:proofErr w:type="spellEnd"/>
            <w:r>
              <w:t xml:space="preserve"> - Szervezett vízi közlekedés, kereskedelmi és személyhajózás a Földközi-tengeren.</w:t>
            </w:r>
          </w:p>
        </w:tc>
      </w:tr>
      <w:tr w:rsidR="00EC2D04" w:rsidTr="0065119C">
        <w:tc>
          <w:tcPr>
            <w:tcW w:w="1714" w:type="dxa"/>
          </w:tcPr>
          <w:p w:rsidR="00EC2D04" w:rsidRDefault="00EC2D04" w:rsidP="0065119C">
            <w:r>
              <w:t xml:space="preserve">A birodalom </w:t>
            </w:r>
          </w:p>
          <w:p w:rsidR="00EC2D04" w:rsidRDefault="00EC2D04" w:rsidP="0065119C">
            <w:r>
              <w:t>Nyelve</w:t>
            </w:r>
          </w:p>
        </w:tc>
        <w:tc>
          <w:tcPr>
            <w:tcW w:w="7498" w:type="dxa"/>
          </w:tcPr>
          <w:p w:rsidR="00EC2D04" w:rsidRDefault="00EC2D04" w:rsidP="0065119C">
            <w:pPr>
              <w:spacing w:line="300" w:lineRule="exact"/>
              <w:jc w:val="both"/>
            </w:pPr>
            <w:r>
              <w:t>A birodalom nagyvárosaiban egységesen beszélt „</w:t>
            </w:r>
            <w:proofErr w:type="spellStart"/>
            <w:r>
              <w:t>koine</w:t>
            </w:r>
            <w:proofErr w:type="spellEnd"/>
            <w:r>
              <w:t xml:space="preserve"> görög” nyelv megkönnyítette a keresztény igehirdetést és a keresztény iratok elterjedését. A kisebb településeken és a falvakban helyi nyelvet használtak.</w:t>
            </w:r>
          </w:p>
        </w:tc>
      </w:tr>
      <w:tr w:rsidR="00EC2D04" w:rsidTr="0065119C">
        <w:tc>
          <w:tcPr>
            <w:tcW w:w="1714" w:type="dxa"/>
          </w:tcPr>
          <w:p w:rsidR="00EC2D04" w:rsidRDefault="00EC2D04" w:rsidP="0065119C">
            <w:r>
              <w:t>Vallási türelem</w:t>
            </w:r>
          </w:p>
        </w:tc>
        <w:tc>
          <w:tcPr>
            <w:tcW w:w="7498" w:type="dxa"/>
          </w:tcPr>
          <w:p w:rsidR="00EC2D04" w:rsidRDefault="00EC2D04" w:rsidP="0065119C">
            <w:pPr>
              <w:spacing w:line="300" w:lineRule="exact"/>
              <w:jc w:val="both"/>
            </w:pPr>
            <w:r>
              <w:t xml:space="preserve">A „religio </w:t>
            </w:r>
            <w:proofErr w:type="spellStart"/>
            <w:r>
              <w:t>licita</w:t>
            </w:r>
            <w:proofErr w:type="spellEnd"/>
            <w:r>
              <w:t>” védelmet nyújtott a kezdetben a zsidó vallás egy ágaként fellépő kereszténységnek.</w:t>
            </w:r>
          </w:p>
        </w:tc>
      </w:tr>
      <w:tr w:rsidR="00EC2D04" w:rsidTr="0065119C">
        <w:tc>
          <w:tcPr>
            <w:tcW w:w="1714" w:type="dxa"/>
          </w:tcPr>
          <w:p w:rsidR="00EC2D04" w:rsidRDefault="00EC2D04" w:rsidP="0065119C">
            <w:r>
              <w:t>Soknemzetiségű birodalom</w:t>
            </w:r>
          </w:p>
        </w:tc>
        <w:tc>
          <w:tcPr>
            <w:tcW w:w="7498" w:type="dxa"/>
          </w:tcPr>
          <w:p w:rsidR="00EC2D04" w:rsidRDefault="00EC2D04" w:rsidP="0065119C">
            <w:pPr>
              <w:spacing w:line="300" w:lineRule="exact"/>
              <w:jc w:val="both"/>
            </w:pPr>
            <w:r>
              <w:t xml:space="preserve">A birodalom eltérő szokásokat és nemzetiségeket egyesített. Róma érdeke a béke biztosítása és az adók beszedése volt. </w:t>
            </w:r>
          </w:p>
          <w:p w:rsidR="00EC2D04" w:rsidRDefault="00EC2D04" w:rsidP="0065119C">
            <w:pPr>
              <w:spacing w:line="300" w:lineRule="exact"/>
              <w:jc w:val="both"/>
            </w:pPr>
            <w:r>
              <w:t xml:space="preserve">A fokozatos </w:t>
            </w:r>
            <w:proofErr w:type="spellStart"/>
            <w:r>
              <w:t>romanizálást</w:t>
            </w:r>
            <w:proofErr w:type="spellEnd"/>
            <w:r>
              <w:t xml:space="preserve"> alkalmazták: kezdetben tiszteletben tartották a helyi hagyományokat és csak fokozatosan vezették be az erre épülő római közigazgatást.</w:t>
            </w:r>
          </w:p>
          <w:p w:rsidR="00EC2D04" w:rsidRDefault="00EC2D04" w:rsidP="0065119C">
            <w:pPr>
              <w:spacing w:line="300" w:lineRule="exact"/>
              <w:jc w:val="both"/>
            </w:pPr>
            <w:r>
              <w:t>Csak nagyobb városokban volt római bíróság, „császár háza”.</w:t>
            </w:r>
          </w:p>
        </w:tc>
      </w:tr>
      <w:tr w:rsidR="00EC2D04" w:rsidTr="0065119C">
        <w:tc>
          <w:tcPr>
            <w:tcW w:w="1714" w:type="dxa"/>
          </w:tcPr>
          <w:p w:rsidR="00EC2D04" w:rsidRDefault="00EC2D04" w:rsidP="0065119C">
            <w:r>
              <w:t>A lakosság</w:t>
            </w:r>
          </w:p>
          <w:p w:rsidR="00EC2D04" w:rsidRDefault="00EC2D04" w:rsidP="0065119C">
            <w:r>
              <w:t>Tagozódása</w:t>
            </w:r>
          </w:p>
        </w:tc>
        <w:tc>
          <w:tcPr>
            <w:tcW w:w="7498" w:type="dxa"/>
          </w:tcPr>
          <w:p w:rsidR="00EC2D04" w:rsidRDefault="00EC2D04" w:rsidP="0065119C">
            <w:pPr>
              <w:spacing w:line="300" w:lineRule="exact"/>
            </w:pPr>
            <w:r>
              <w:t>Római arisztokrácia</w:t>
            </w:r>
          </w:p>
          <w:p w:rsidR="00EC2D04" w:rsidRDefault="00EC2D04" w:rsidP="0065119C">
            <w:pPr>
              <w:spacing w:line="300" w:lineRule="exact"/>
            </w:pPr>
            <w:r>
              <w:t>Római polgárok</w:t>
            </w:r>
          </w:p>
          <w:p w:rsidR="00EC2D04" w:rsidRDefault="00EC2D04" w:rsidP="0065119C">
            <w:pPr>
              <w:spacing w:line="300" w:lineRule="exact"/>
            </w:pPr>
            <w:r>
              <w:t>Szabad polgárok</w:t>
            </w:r>
          </w:p>
          <w:p w:rsidR="00EC2D04" w:rsidRDefault="00EC2D04" w:rsidP="0065119C">
            <w:pPr>
              <w:spacing w:line="300" w:lineRule="exact"/>
            </w:pPr>
            <w:r>
              <w:t>Rabszolgák</w:t>
            </w:r>
          </w:p>
        </w:tc>
      </w:tr>
      <w:tr w:rsidR="00EC2D04" w:rsidTr="0065119C">
        <w:tc>
          <w:tcPr>
            <w:tcW w:w="1714" w:type="dxa"/>
          </w:tcPr>
          <w:p w:rsidR="00EC2D04" w:rsidRDefault="00EC2D04" w:rsidP="0065119C">
            <w:r>
              <w:t>Közigazgatás</w:t>
            </w:r>
          </w:p>
        </w:tc>
        <w:tc>
          <w:tcPr>
            <w:tcW w:w="749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6"/>
              <w:gridCol w:w="2387"/>
              <w:gridCol w:w="2402"/>
            </w:tblGrid>
            <w:tr w:rsidR="00EC2D04" w:rsidTr="0065119C">
              <w:tc>
                <w:tcPr>
                  <w:tcW w:w="2447" w:type="dxa"/>
                </w:tcPr>
                <w:p w:rsidR="00EC2D04" w:rsidRPr="004877CC" w:rsidRDefault="00EC2D04" w:rsidP="0065119C">
                  <w:pPr>
                    <w:spacing w:line="300" w:lineRule="exact"/>
                    <w:rPr>
                      <w:u w:val="single"/>
                    </w:rPr>
                  </w:pPr>
                  <w:r w:rsidRPr="004877CC">
                    <w:rPr>
                      <w:u w:val="single"/>
                    </w:rPr>
                    <w:t>S</w:t>
                  </w:r>
                  <w:r>
                    <w:rPr>
                      <w:u w:val="single"/>
                    </w:rPr>
                    <w:t>z</w:t>
                  </w:r>
                  <w:r w:rsidRPr="004877CC">
                    <w:rPr>
                      <w:u w:val="single"/>
                    </w:rPr>
                    <w:t>en</w:t>
                  </w:r>
                  <w:r>
                    <w:rPr>
                      <w:u w:val="single"/>
                    </w:rPr>
                    <w:t>á</w:t>
                  </w:r>
                  <w:r w:rsidRPr="004877CC">
                    <w:rPr>
                      <w:u w:val="single"/>
                    </w:rPr>
                    <w:t>tusi provinciák</w:t>
                  </w:r>
                </w:p>
                <w:p w:rsidR="00EC2D04" w:rsidRDefault="00EC2D04" w:rsidP="0065119C">
                  <w:pPr>
                    <w:spacing w:before="120" w:line="300" w:lineRule="exact"/>
                  </w:pPr>
                  <w:r>
                    <w:t xml:space="preserve">jól </w:t>
                  </w:r>
                  <w:proofErr w:type="spellStart"/>
                  <w:r>
                    <w:t>romanizált</w:t>
                  </w:r>
                  <w:proofErr w:type="spellEnd"/>
                  <w:r>
                    <w:t xml:space="preserve"> provinciák, római jogintézményekkel.</w:t>
                  </w:r>
                </w:p>
              </w:tc>
              <w:tc>
                <w:tcPr>
                  <w:tcW w:w="2448" w:type="dxa"/>
                </w:tcPr>
                <w:p w:rsidR="00EC2D04" w:rsidRPr="004877CC" w:rsidRDefault="00EC2D04" w:rsidP="0065119C">
                  <w:pPr>
                    <w:spacing w:line="300" w:lineRule="exact"/>
                    <w:rPr>
                      <w:u w:val="single"/>
                    </w:rPr>
                  </w:pPr>
                  <w:r w:rsidRPr="004877CC">
                    <w:rPr>
                      <w:u w:val="single"/>
                    </w:rPr>
                    <w:t>Róma és vidéke</w:t>
                  </w:r>
                </w:p>
              </w:tc>
              <w:tc>
                <w:tcPr>
                  <w:tcW w:w="2448" w:type="dxa"/>
                </w:tcPr>
                <w:p w:rsidR="00EC2D04" w:rsidRPr="004877CC" w:rsidRDefault="00EC2D04" w:rsidP="0065119C">
                  <w:pPr>
                    <w:spacing w:line="300" w:lineRule="exact"/>
                    <w:rPr>
                      <w:u w:val="single"/>
                    </w:rPr>
                  </w:pPr>
                  <w:r w:rsidRPr="004877CC">
                    <w:rPr>
                      <w:u w:val="single"/>
                    </w:rPr>
                    <w:t>Császári provinciák</w:t>
                  </w:r>
                </w:p>
                <w:p w:rsidR="00EC2D04" w:rsidRDefault="00EC2D04" w:rsidP="0065119C">
                  <w:pPr>
                    <w:spacing w:before="120" w:line="300" w:lineRule="exact"/>
                  </w:pPr>
                  <w:r>
                    <w:t xml:space="preserve">Kevésbé </w:t>
                  </w:r>
                  <w:proofErr w:type="spellStart"/>
                  <w:r>
                    <w:t>romanizált</w:t>
                  </w:r>
                  <w:proofErr w:type="spellEnd"/>
                  <w:r>
                    <w:t xml:space="preserve"> provinciák, pl. Szíria, Palesztina.</w:t>
                  </w:r>
                </w:p>
              </w:tc>
            </w:tr>
            <w:tr w:rsidR="00EC2D04" w:rsidTr="0065119C">
              <w:tc>
                <w:tcPr>
                  <w:tcW w:w="2447" w:type="dxa"/>
                </w:tcPr>
                <w:p w:rsidR="00EC2D04" w:rsidRDefault="00EC2D04" w:rsidP="0065119C">
                  <w:pPr>
                    <w:spacing w:line="300" w:lineRule="exact"/>
                  </w:pPr>
                  <w:r>
                    <w:t>köztársasági törvények</w:t>
                  </w:r>
                </w:p>
                <w:p w:rsidR="00EC2D04" w:rsidRDefault="00EC2D04" w:rsidP="0065119C">
                  <w:pPr>
                    <w:spacing w:line="300" w:lineRule="exact"/>
                  </w:pPr>
                  <w:proofErr w:type="spellStart"/>
                  <w:r>
                    <w:t>proconsul</w:t>
                  </w:r>
                  <w:proofErr w:type="spellEnd"/>
                </w:p>
              </w:tc>
              <w:tc>
                <w:tcPr>
                  <w:tcW w:w="2448" w:type="dxa"/>
                </w:tcPr>
                <w:p w:rsidR="00EC2D04" w:rsidRDefault="00EC2D04" w:rsidP="0065119C">
                  <w:pPr>
                    <w:spacing w:line="300" w:lineRule="exact"/>
                  </w:pPr>
                  <w:r>
                    <w:t>közigazgatási alkotmány</w:t>
                  </w:r>
                </w:p>
              </w:tc>
              <w:tc>
                <w:tcPr>
                  <w:tcW w:w="2448" w:type="dxa"/>
                </w:tcPr>
                <w:p w:rsidR="00EC2D04" w:rsidRDefault="00EC2D04" w:rsidP="0065119C">
                  <w:pPr>
                    <w:spacing w:line="300" w:lineRule="exact"/>
                  </w:pPr>
                  <w:r>
                    <w:t xml:space="preserve">monarchikus kormányzás </w:t>
                  </w:r>
                </w:p>
                <w:p w:rsidR="00EC2D04" w:rsidRDefault="00EC2D04" w:rsidP="0065119C">
                  <w:pPr>
                    <w:spacing w:line="300" w:lineRule="exact"/>
                  </w:pPr>
                  <w:r>
                    <w:t>Augustus: kinevezett lovagok, Tanács segíti a kormányzást.</w:t>
                  </w:r>
                </w:p>
              </w:tc>
            </w:tr>
            <w:tr w:rsidR="00EC2D04" w:rsidTr="0065119C">
              <w:tc>
                <w:tcPr>
                  <w:tcW w:w="2447" w:type="dxa"/>
                </w:tcPr>
                <w:p w:rsidR="00EC2D04" w:rsidRDefault="00EC2D04" w:rsidP="0065119C">
                  <w:pPr>
                    <w:spacing w:line="300" w:lineRule="exact"/>
                  </w:pPr>
                  <w:r>
                    <w:lastRenderedPageBreak/>
                    <w:t>a szenátus kormányoz</w:t>
                  </w:r>
                </w:p>
              </w:tc>
              <w:tc>
                <w:tcPr>
                  <w:tcW w:w="2448" w:type="dxa"/>
                </w:tcPr>
                <w:p w:rsidR="00EC2D04" w:rsidRDefault="00EC2D04" w:rsidP="0065119C">
                  <w:pPr>
                    <w:spacing w:line="300" w:lineRule="exact"/>
                  </w:pPr>
                </w:p>
              </w:tc>
              <w:tc>
                <w:tcPr>
                  <w:tcW w:w="2448" w:type="dxa"/>
                </w:tcPr>
                <w:p w:rsidR="00EC2D04" w:rsidRDefault="00EC2D04" w:rsidP="0065119C">
                  <w:pPr>
                    <w:spacing w:line="300" w:lineRule="exact"/>
                  </w:pPr>
                  <w:r>
                    <w:t>tartós felhatalmazások</w:t>
                  </w:r>
                </w:p>
              </w:tc>
            </w:tr>
            <w:tr w:rsidR="00EC2D04" w:rsidTr="0065119C">
              <w:tc>
                <w:tcPr>
                  <w:tcW w:w="2447" w:type="dxa"/>
                </w:tcPr>
                <w:p w:rsidR="00EC2D04" w:rsidRDefault="00EC2D04" w:rsidP="0065119C">
                  <w:pPr>
                    <w:spacing w:line="300" w:lineRule="exact"/>
                  </w:pPr>
                  <w:r>
                    <w:t>magisztrátus alá tartoznak</w:t>
                  </w:r>
                </w:p>
                <w:p w:rsidR="00EC2D04" w:rsidRDefault="00EC2D04" w:rsidP="0065119C">
                  <w:pPr>
                    <w:spacing w:line="300" w:lineRule="exact"/>
                  </w:pPr>
                  <w:proofErr w:type="spellStart"/>
                  <w:r>
                    <w:t>consulok</w:t>
                  </w:r>
                  <w:proofErr w:type="spellEnd"/>
                </w:p>
                <w:p w:rsidR="00EC2D04" w:rsidRDefault="00EC2D04" w:rsidP="0065119C">
                  <w:pPr>
                    <w:spacing w:line="300" w:lineRule="exact"/>
                  </w:pPr>
                  <w:proofErr w:type="spellStart"/>
                  <w:r>
                    <w:t>praefektorok</w:t>
                  </w:r>
                  <w:proofErr w:type="spellEnd"/>
                </w:p>
                <w:p w:rsidR="00EC2D04" w:rsidRDefault="00EC2D04" w:rsidP="0065119C">
                  <w:pPr>
                    <w:spacing w:line="300" w:lineRule="exact"/>
                  </w:pPr>
                  <w:proofErr w:type="spellStart"/>
                  <w:r>
                    <w:t>questorok</w:t>
                  </w:r>
                  <w:proofErr w:type="spellEnd"/>
                </w:p>
              </w:tc>
              <w:tc>
                <w:tcPr>
                  <w:tcW w:w="2448" w:type="dxa"/>
                </w:tcPr>
                <w:p w:rsidR="00EC2D04" w:rsidRDefault="00EC2D04" w:rsidP="0065119C">
                  <w:pPr>
                    <w:spacing w:line="300" w:lineRule="exact"/>
                  </w:pPr>
                </w:p>
              </w:tc>
              <w:tc>
                <w:tcPr>
                  <w:tcW w:w="2448" w:type="dxa"/>
                </w:tcPr>
                <w:p w:rsidR="00EC2D04" w:rsidRDefault="00EC2D04" w:rsidP="0065119C">
                  <w:pPr>
                    <w:spacing w:line="300" w:lineRule="exact"/>
                  </w:pPr>
                  <w:r>
                    <w:t xml:space="preserve">adóbeszedés – </w:t>
                  </w:r>
                  <w:proofErr w:type="spellStart"/>
                  <w:r>
                    <w:t>fiscus</w:t>
                  </w:r>
                  <w:proofErr w:type="spellEnd"/>
                </w:p>
                <w:p w:rsidR="00EC2D04" w:rsidRDefault="00EC2D04" w:rsidP="0065119C">
                  <w:pPr>
                    <w:spacing w:line="300" w:lineRule="exact"/>
                  </w:pPr>
                  <w:r>
                    <w:t>hivatalok – lovagok</w:t>
                  </w:r>
                </w:p>
                <w:p w:rsidR="00EC2D04" w:rsidRDefault="00EC2D04" w:rsidP="0065119C">
                  <w:pPr>
                    <w:spacing w:line="300" w:lineRule="exact"/>
                  </w:pPr>
                  <w:r>
                    <w:t>testőrség – a közrend biztosítása, római polgárok és intézmények védelme.</w:t>
                  </w:r>
                </w:p>
              </w:tc>
            </w:tr>
            <w:tr w:rsidR="00EC2D04" w:rsidTr="0065119C">
              <w:trPr>
                <w:cantSplit/>
              </w:trPr>
              <w:tc>
                <w:tcPr>
                  <w:tcW w:w="7343" w:type="dxa"/>
                  <w:gridSpan w:val="3"/>
                </w:tcPr>
                <w:p w:rsidR="00EC2D04" w:rsidRDefault="00EC2D04" w:rsidP="0065119C">
                  <w:pPr>
                    <w:spacing w:line="300" w:lineRule="exact"/>
                  </w:pPr>
                  <w:r>
                    <w:t xml:space="preserve">Egyiptom jogi </w:t>
                  </w:r>
                  <w:proofErr w:type="spellStart"/>
                  <w:r>
                    <w:t>helyzetes</w:t>
                  </w:r>
                  <w:proofErr w:type="spellEnd"/>
                  <w:r>
                    <w:t xml:space="preserve"> sajátos.</w:t>
                  </w:r>
                </w:p>
              </w:tc>
            </w:tr>
            <w:tr w:rsidR="00EC2D04" w:rsidTr="0065119C">
              <w:trPr>
                <w:cantSplit/>
              </w:trPr>
              <w:tc>
                <w:tcPr>
                  <w:tcW w:w="7343" w:type="dxa"/>
                  <w:gridSpan w:val="3"/>
                </w:tcPr>
                <w:p w:rsidR="00EC2D04" w:rsidRDefault="00EC2D04" w:rsidP="0065119C">
                  <w:pPr>
                    <w:spacing w:line="300" w:lineRule="exact"/>
                    <w:jc w:val="both"/>
                  </w:pPr>
                  <w:r>
                    <w:t xml:space="preserve">Palesztina jogi helyzete: a </w:t>
                  </w:r>
                  <w:proofErr w:type="spellStart"/>
                  <w:r>
                    <w:t>procurator</w:t>
                  </w:r>
                  <w:proofErr w:type="spellEnd"/>
                  <w:r>
                    <w:t xml:space="preserve"> uralkodik, de a szíriai legátus felügyeli.</w:t>
                  </w:r>
                </w:p>
              </w:tc>
            </w:tr>
          </w:tbl>
          <w:p w:rsidR="00EC2D04" w:rsidRDefault="00EC2D04" w:rsidP="0065119C">
            <w:pPr>
              <w:spacing w:line="300" w:lineRule="exact"/>
            </w:pPr>
          </w:p>
        </w:tc>
      </w:tr>
    </w:tbl>
    <w:p w:rsidR="00EC2D04" w:rsidRDefault="00EC2D04"/>
    <w:sectPr w:rsidR="00EC2D04"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04"/>
    <w:rsid w:val="00237CD1"/>
    <w:rsid w:val="007E4D85"/>
    <w:rsid w:val="00E500AA"/>
    <w:rsid w:val="00EC2D04"/>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A31C"/>
  <w15:chartTrackingRefBased/>
  <w15:docId w15:val="{43E38A81-E07B-4907-9B76-F61F3ADE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lang w:val="hu-HU"/>
    </w:rPr>
  </w:style>
  <w:style w:type="paragraph" w:styleId="Cmsor3">
    <w:name w:val="heading 3"/>
    <w:basedOn w:val="Norml"/>
    <w:next w:val="Norml"/>
    <w:link w:val="Cmsor3Char"/>
    <w:qFormat/>
    <w:rsid w:val="00EC2D04"/>
    <w:pPr>
      <w:keepNext/>
      <w:spacing w:after="0" w:line="240" w:lineRule="auto"/>
      <w:jc w:val="center"/>
      <w:outlineLvl w:val="2"/>
    </w:pPr>
    <w:rPr>
      <w:rFonts w:ascii="Times New Roman" w:eastAsia="Times New Roman" w:hAnsi="Times New Roman" w:cs="Times New Roman"/>
      <w:b/>
      <w:bCs/>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EC2D04"/>
    <w:rPr>
      <w:rFonts w:ascii="Times New Roman" w:eastAsia="Times New Roman" w:hAnsi="Times New Roman" w:cs="Times New Roman"/>
      <w:b/>
      <w:bCs/>
      <w:sz w:val="28"/>
      <w:szCs w:val="24"/>
      <w:lang w:val="hu-HU" w:eastAsia="hu-HU"/>
    </w:rPr>
  </w:style>
  <w:style w:type="paragraph" w:styleId="Cm">
    <w:name w:val="Title"/>
    <w:basedOn w:val="Norml"/>
    <w:link w:val="CmChar"/>
    <w:qFormat/>
    <w:rsid w:val="00EC2D04"/>
    <w:pPr>
      <w:spacing w:after="0" w:line="240" w:lineRule="auto"/>
      <w:jc w:val="center"/>
    </w:pPr>
    <w:rPr>
      <w:rFonts w:ascii="Times New Roman" w:eastAsia="Times New Roman" w:hAnsi="Times New Roman" w:cs="Times New Roman"/>
      <w:b/>
      <w:bCs/>
      <w:sz w:val="36"/>
      <w:szCs w:val="24"/>
      <w:lang w:eastAsia="hu-HU"/>
    </w:rPr>
  </w:style>
  <w:style w:type="character" w:customStyle="1" w:styleId="CmChar">
    <w:name w:val="Cím Char"/>
    <w:basedOn w:val="Bekezdsalapbettpusa"/>
    <w:link w:val="Cm"/>
    <w:rsid w:val="00EC2D04"/>
    <w:rPr>
      <w:rFonts w:ascii="Times New Roman" w:eastAsia="Times New Roman" w:hAnsi="Times New Roman" w:cs="Times New Roman"/>
      <w:b/>
      <w:bCs/>
      <w:sz w:val="36"/>
      <w:szCs w:val="24"/>
      <w:lang w:val="hu-HU" w:eastAsia="hu-HU"/>
    </w:rPr>
  </w:style>
  <w:style w:type="paragraph" w:styleId="Alcm">
    <w:name w:val="Subtitle"/>
    <w:basedOn w:val="Norml"/>
    <w:link w:val="AlcmChar"/>
    <w:qFormat/>
    <w:rsid w:val="00EC2D04"/>
    <w:pPr>
      <w:spacing w:after="0" w:line="240" w:lineRule="auto"/>
    </w:pPr>
    <w:rPr>
      <w:rFonts w:ascii="Times New Roman" w:eastAsia="Times New Roman" w:hAnsi="Times New Roman" w:cs="Times New Roman"/>
      <w:b/>
      <w:bCs/>
      <w:sz w:val="24"/>
      <w:szCs w:val="24"/>
      <w:lang w:eastAsia="hu-HU"/>
    </w:rPr>
  </w:style>
  <w:style w:type="character" w:customStyle="1" w:styleId="AlcmChar">
    <w:name w:val="Alcím Char"/>
    <w:basedOn w:val="Bekezdsalapbettpusa"/>
    <w:link w:val="Alcm"/>
    <w:rsid w:val="00EC2D04"/>
    <w:rPr>
      <w:rFonts w:ascii="Times New Roman" w:eastAsia="Times New Roman" w:hAnsi="Times New Roman" w:cs="Times New Roman"/>
      <w:b/>
      <w:bCs/>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Words>
  <Characters>4373</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2</cp:revision>
  <dcterms:created xsi:type="dcterms:W3CDTF">2022-02-17T08:58:00Z</dcterms:created>
  <dcterms:modified xsi:type="dcterms:W3CDTF">2022-02-17T08:58:00Z</dcterms:modified>
</cp:coreProperties>
</file>